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FB4784" w:rsidRPr="0038257C" w14:paraId="5826E5FF" w14:textId="77777777" w:rsidTr="0053268E">
        <w:tc>
          <w:tcPr>
            <w:tcW w:w="9828" w:type="dxa"/>
            <w:shd w:val="clear" w:color="auto" w:fill="F2F2F2"/>
          </w:tcPr>
          <w:p w14:paraId="311A471D" w14:textId="5709CBE6" w:rsidR="00FB4784" w:rsidRPr="006A6A64" w:rsidRDefault="00FB4784" w:rsidP="00F90F11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</w:tc>
      </w:tr>
      <w:tr w:rsidR="00FB4784" w:rsidRPr="0038257C" w14:paraId="2D8709D7" w14:textId="77777777" w:rsidTr="0053268E">
        <w:tc>
          <w:tcPr>
            <w:tcW w:w="9828" w:type="dxa"/>
          </w:tcPr>
          <w:p w14:paraId="41409186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Опис</w:t>
            </w:r>
          </w:p>
          <w:p w14:paraId="651BA435" w14:textId="4F7AFC8F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а) Назив студијског програма: Мастер ака</w:t>
            </w:r>
            <w:r w:rsidR="00DA4D24">
              <w:rPr>
                <w:color w:val="000000"/>
                <w:sz w:val="22"/>
                <w:szCs w:val="22"/>
              </w:rPr>
              <w:t xml:space="preserve">демске студије педагогије (МАС </w:t>
            </w:r>
            <w:r w:rsidR="00DA4D24">
              <w:rPr>
                <w:color w:val="000000"/>
                <w:sz w:val="22"/>
                <w:szCs w:val="22"/>
                <w:lang w:val="sr-Cyrl-RS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едагогије). У оквиру студијског програма MАС педагогије постоје 2 модула: Модул Педагогија и Модул Социјална педагогија. </w:t>
            </w:r>
          </w:p>
          <w:p w14:paraId="70777FFC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Мастер академске студије педагогије имају за циљ продубљивање научних и стручних знања и развијање компетенција за критичко, самостално педагошко и истраживачко деловање, унапређивање васпитно-образовне праксе и даље академско усавршавање. </w:t>
            </w:r>
          </w:p>
          <w:p w14:paraId="3375D49E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б) Ниво НОKС-а: 7.1 (Мастер академске студије обима од 60 ЕСПБ); Ниво ЕОK-а: 7, ISCED 13F класификација 0111; Шифра квалификације: 71.3.0111.0018</w:t>
            </w:r>
          </w:p>
          <w:p w14:paraId="4A6A84CB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Сагласно </w:t>
            </w:r>
            <w:r>
              <w:rPr>
                <w:i/>
                <w:iCs/>
                <w:color w:val="000000"/>
                <w:sz w:val="22"/>
                <w:szCs w:val="22"/>
              </w:rPr>
              <w:t>Националном оквиру квалификација</w:t>
            </w:r>
            <w:r>
              <w:rPr>
                <w:color w:val="000000"/>
                <w:sz w:val="22"/>
                <w:szCs w:val="22"/>
              </w:rPr>
              <w:t>, исходи учења на Мастер академским студијама педагогије подразумевају да је студент способан да продубљује и интегрише научна, стручна и теоријско-методолошка знања из области педагогије, примењује их у различитим васпитно-образовним и истраживачким контекстима, самостално спроводи научно-истраживачки рад, користи његове резултате у унапређивању праксе и континуирано се усавршава у складу са принципима целоживотног учења у личном и професионалном развоју.</w:t>
            </w:r>
          </w:p>
          <w:p w14:paraId="73753FF4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в) Завршетком студија студент стиче академски назив: </w:t>
            </w:r>
            <w:r>
              <w:rPr>
                <w:i/>
                <w:iCs/>
                <w:color w:val="000000"/>
                <w:sz w:val="22"/>
                <w:szCs w:val="22"/>
              </w:rPr>
              <w:t>МАСТЕР ПЕДАГОГ.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7423562B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г) Услов за упис на студијски програм јесу завршене основне академске студије у трајању од четири године из одговарајуће области (240 ЕСПБ). Остали услови уписа регулисани су и Статутом и Правилником о полагању пријемних испита и упису кандидата Филозофског факултета у Нишу. Прелазак са других студијских програма у оквиру истих или сродних области уређен је у складу са Законом и општим актима Универзитета и Филозофског факултета.</w:t>
            </w:r>
          </w:p>
          <w:p w14:paraId="0AADAA6F" w14:textId="6EEA5D74" w:rsidR="006A6A64" w:rsidRDefault="009A21DD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6A6A64">
              <w:rPr>
                <w:color w:val="000000"/>
                <w:sz w:val="22"/>
                <w:szCs w:val="22"/>
              </w:rPr>
              <w:t>) Студијски програм садржи обавезне предмете (12 ЕСПБ), предмете изборних блокова (22 ЕСПБ), Стручну праксу (6 ЕСПБ), Предмет Мастер завршног рада (6 ЕСПБ) и Мастер рад – израда и одбрана (14 ЕСПБ).</w:t>
            </w:r>
          </w:p>
          <w:p w14:paraId="43700CB6" w14:textId="77777777" w:rsidR="006A6A64" w:rsidRDefault="006A6A64" w:rsidP="00F37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B9667C">
              <w:rPr>
                <w:color w:val="000000"/>
                <w:sz w:val="22"/>
                <w:szCs w:val="22"/>
              </w:rPr>
              <w:t>Садржаји предмета усмерени су на изучавање савремених педагошких теорија, методологије педагошких истраживања, области васпитно-образовног рада, социјално-педагошких феномена, инклузивног образовања и развоја компетенција за истраживачки рад.</w:t>
            </w:r>
          </w:p>
          <w:p w14:paraId="3CA47849" w14:textId="719DDFA6" w:rsidR="006A6A64" w:rsidRDefault="006A6A64" w:rsidP="00F37113">
            <w:pPr>
              <w:tabs>
                <w:tab w:val="left" w:pos="0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Обавезни предмет на оба модула је Методологија педагошких истраживања. На Модулу Педагогија, статус обавезног </w:t>
            </w:r>
            <w:r w:rsidR="00DA4D24" w:rsidRPr="00DA4D24">
              <w:rPr>
                <w:sz w:val="22"/>
                <w:szCs w:val="22"/>
              </w:rPr>
              <w:t xml:space="preserve">предмета </w:t>
            </w:r>
            <w:r>
              <w:rPr>
                <w:sz w:val="22"/>
                <w:szCs w:val="22"/>
              </w:rPr>
              <w:t xml:space="preserve">има и предмет Теорије васпитања, док на Модулу Социјална педагогија статус обавезног предмета има и Социјална педагогија. Поред наведених, статус обавезних предмета имају и Стручна пракса (као специфичан вид педагошке праксе који је усмерен </w:t>
            </w:r>
            <w:r w:rsidR="001F5A4C">
              <w:rPr>
                <w:sz w:val="22"/>
                <w:szCs w:val="22"/>
                <w:lang w:val="sr-Cyrl-RS"/>
              </w:rPr>
              <w:t xml:space="preserve">на </w:t>
            </w:r>
            <w:r>
              <w:rPr>
                <w:sz w:val="22"/>
                <w:szCs w:val="22"/>
              </w:rPr>
              <w:t xml:space="preserve">оспособљавање студената за непосредан рад у васпитно-образовном процесу и реализује се у релевантним васпитно-образовним установама и установама из области социјалне заштите), као и Предмет Мастер завршног рада и Мастер рад – израда и одбрана (који имају одређени степен изборности у виду избора ментора и предмета истраживања). </w:t>
            </w:r>
          </w:p>
          <w:p w14:paraId="0CA75E04" w14:textId="77777777" w:rsidR="006A6A64" w:rsidRDefault="006A6A64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Статус изборних предмета на оба модула имају: Вештине демократске комуникације у настави, Методика социјално-педагошког рада, Породични односи и васпитање, Акциона истраживања, Насиље, васпитно занемаривање и злостављање, Међугрупни конфликти, Експериментална педагогија, Педагошко саветодавни рад, Образовање за рефлексивну праксу, Педагогија слободног времена, </w:t>
            </w:r>
            <w:r>
              <w:rPr>
                <w:color w:val="000000"/>
                <w:sz w:val="22"/>
                <w:szCs w:val="22"/>
              </w:rPr>
              <w:t>Медији у предшколском образовању</w:t>
            </w:r>
            <w:r>
              <w:rPr>
                <w:sz w:val="22"/>
                <w:szCs w:val="22"/>
              </w:rPr>
              <w:t xml:space="preserve">, Дидактика даровитих, Експериментални приступи у образовању. </w:t>
            </w:r>
            <w:r>
              <w:rPr>
                <w:color w:val="000000"/>
                <w:sz w:val="22"/>
                <w:szCs w:val="22"/>
              </w:rPr>
              <w:t>На Модулу Педагогија, изборни предмети су: Теорије школе,  Социјална педагогија, Диференцијална дидактика, Међукултурна комуникација и медији,  Лидерство наставника, Породица и васпитно-образовне установе.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На Модулу Социјална педагогија изборни предмети су и: Социјална инклузија старијих особа, Савремена педагогија и инклузивно образовање, Вршњачко насиље и васпитно-образовне установе, Интеркултурална педагогија.</w:t>
            </w:r>
          </w:p>
          <w:p w14:paraId="0BCE7C99" w14:textId="126FAAD7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ђ</w:t>
            </w:r>
            <w:r w:rsidR="006A6A64">
              <w:rPr>
                <w:color w:val="000000"/>
                <w:sz w:val="22"/>
                <w:szCs w:val="22"/>
              </w:rPr>
              <w:t xml:space="preserve">) </w:t>
            </w:r>
            <w:r w:rsidR="006A6A64">
              <w:rPr>
                <w:sz w:val="22"/>
                <w:szCs w:val="22"/>
              </w:rPr>
              <w:t xml:space="preserve">Једногодишње студирање на Мастер академским студијама педагогије подељено је у 2 семестра и </w:t>
            </w:r>
            <w:r w:rsidR="001F5A4C">
              <w:rPr>
                <w:sz w:val="22"/>
                <w:szCs w:val="22"/>
                <w:lang w:val="sr-Cyrl-RS"/>
              </w:rPr>
              <w:t>обухвата похађење</w:t>
            </w:r>
            <w:r w:rsidR="006A6A64">
              <w:rPr>
                <w:sz w:val="22"/>
                <w:szCs w:val="22"/>
              </w:rPr>
              <w:t xml:space="preserve"> 600 часова</w:t>
            </w:r>
            <w:r w:rsidR="006A6A64">
              <w:rPr>
                <w:color w:val="000000"/>
                <w:sz w:val="22"/>
                <w:szCs w:val="22"/>
              </w:rPr>
              <w:t>.</w:t>
            </w:r>
          </w:p>
          <w:p w14:paraId="0B8EB574" w14:textId="5D422AA2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</w:t>
            </w:r>
            <w:r w:rsidR="006A6A64">
              <w:rPr>
                <w:color w:val="000000"/>
                <w:sz w:val="22"/>
                <w:szCs w:val="22"/>
              </w:rPr>
              <w:t>) Бодовнa вредност сваког предмета исказанa je у складу са европским системом преноса  бодова</w:t>
            </w:r>
            <w:r w:rsidR="001F5A4C">
              <w:rPr>
                <w:color w:val="000000"/>
                <w:sz w:val="22"/>
                <w:szCs w:val="22"/>
                <w:lang w:val="sr-Cyrl-RS"/>
              </w:rPr>
              <w:t xml:space="preserve">, при чему је </w:t>
            </w:r>
            <w:r w:rsidR="006A6A64">
              <w:rPr>
                <w:color w:val="000000"/>
                <w:sz w:val="22"/>
                <w:szCs w:val="22"/>
              </w:rPr>
              <w:t xml:space="preserve">60 ЕСПБ бодова </w:t>
            </w:r>
            <w:r w:rsidR="001F5A4C">
              <w:rPr>
                <w:color w:val="000000"/>
                <w:sz w:val="22"/>
                <w:szCs w:val="22"/>
                <w:lang w:val="sr-Cyrl-RS"/>
              </w:rPr>
              <w:t xml:space="preserve">укупан број бодова </w:t>
            </w:r>
            <w:r w:rsidR="006A6A64">
              <w:rPr>
                <w:color w:val="000000"/>
                <w:sz w:val="22"/>
                <w:szCs w:val="22"/>
              </w:rPr>
              <w:t>(први семестар 30 ЕСПБ, други семестар 30 ЕСПБ). Бодовна вредност сваког предмета исказана је у Наставном плану студијског програма – МАС педагогије.</w:t>
            </w:r>
          </w:p>
          <w:p w14:paraId="7CD3DBA2" w14:textId="014E11FE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ж</w:t>
            </w:r>
            <w:r w:rsidR="006A6A64">
              <w:rPr>
                <w:color w:val="000000"/>
                <w:sz w:val="22"/>
                <w:szCs w:val="22"/>
              </w:rPr>
              <w:t xml:space="preserve">) Бодовна вредност мастер рада износи 14 ЕСПБ и обухвата израду и одбрану завршног рада </w:t>
            </w:r>
            <w:r w:rsidR="006A6A64">
              <w:rPr>
                <w:color w:val="000000"/>
                <w:sz w:val="22"/>
                <w:szCs w:val="22"/>
              </w:rPr>
              <w:lastRenderedPageBreak/>
              <w:t>на Мастер академским студијама педагогије.</w:t>
            </w:r>
          </w:p>
          <w:p w14:paraId="669DD467" w14:textId="2BDDFD0F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6A6A64">
              <w:rPr>
                <w:color w:val="000000"/>
                <w:sz w:val="22"/>
                <w:szCs w:val="22"/>
              </w:rPr>
              <w:t>) Предуслови за упис појединих предмета дефинисани су књигом предмета (табеле 5.2.).</w:t>
            </w:r>
          </w:p>
          <w:p w14:paraId="4FEA6BAD" w14:textId="4572C1A6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и</w:t>
            </w:r>
            <w:r w:rsidR="006A6A64">
              <w:rPr>
                <w:color w:val="000000"/>
                <w:sz w:val="22"/>
                <w:szCs w:val="22"/>
              </w:rPr>
              <w:t>) Студијски програм садржи у оквиру изборних блокова предмете других студијских програма. Осим ових, студeнти су у могућности да факултативно изаберу и друге предмете чије се полагање евидентира у додатку дипломе. Поступак избора предмета из других студијских програма ближе је уређен општим актима високошколске установе.</w:t>
            </w:r>
          </w:p>
          <w:p w14:paraId="6F31BA24" w14:textId="5099E322" w:rsidR="006A6A64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ј</w:t>
            </w:r>
            <w:r w:rsidR="006A6A64">
              <w:rPr>
                <w:color w:val="000000"/>
                <w:sz w:val="22"/>
                <w:szCs w:val="22"/>
              </w:rPr>
              <w:t>) Прелазак студената са других студијских програма у оквиру истих или сродних области студија могућ</w:t>
            </w:r>
            <w:r w:rsidR="00DA4D24">
              <w:rPr>
                <w:color w:val="000000"/>
                <w:sz w:val="22"/>
                <w:szCs w:val="22"/>
                <w:lang w:val="sr-Cyrl-RS"/>
              </w:rPr>
              <w:t>и</w:t>
            </w:r>
            <w:r w:rsidR="006A6A64">
              <w:rPr>
                <w:color w:val="000000"/>
                <w:sz w:val="22"/>
                <w:szCs w:val="22"/>
              </w:rPr>
              <w:t xml:space="preserve"> је и дефинисан сагласно Закону о високом образовању и општим актима Универзитета у Нишу и Филозофског </w:t>
            </w:r>
            <w:r w:rsidR="006A6A64">
              <w:rPr>
                <w:color w:val="000000"/>
                <w:sz w:val="22"/>
                <w:szCs w:val="22"/>
                <w:lang w:val="sr-Cyrl-RS"/>
              </w:rPr>
              <w:t>ф</w:t>
            </w:r>
            <w:r w:rsidR="006A6A64">
              <w:rPr>
                <w:color w:val="000000"/>
                <w:sz w:val="22"/>
                <w:szCs w:val="22"/>
              </w:rPr>
              <w:t>акултета.</w:t>
            </w:r>
          </w:p>
          <w:p w14:paraId="6ED3458A" w14:textId="5C42D63B" w:rsidR="002B7698" w:rsidRDefault="009A21DD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6A6A64">
              <w:rPr>
                <w:color w:val="000000"/>
                <w:sz w:val="22"/>
                <w:szCs w:val="22"/>
              </w:rPr>
              <w:t>) Студијски програм се реализује кроз активну наставу, односно предавања, вежбе и студијски истраживачки рад студената. Методички оквир извођења наставе чине: менторско праћење, самостални рад студената, индивидуални и групни пројекти, теренска истраживања, интерактивна настава, писање семинарских и студијско-истраживачких радова, консултативни рад, симулације, м</w:t>
            </w:r>
            <w:r w:rsidR="00DA4D24">
              <w:rPr>
                <w:color w:val="000000"/>
                <w:sz w:val="22"/>
                <w:szCs w:val="22"/>
              </w:rPr>
              <w:t>икро настава, радионичарски рад</w:t>
            </w:r>
            <w:r w:rsidR="006A6A64">
              <w:rPr>
                <w:color w:val="000000"/>
                <w:sz w:val="22"/>
                <w:szCs w:val="22"/>
              </w:rPr>
              <w:t xml:space="preserve"> и др. У настави се примењују различити видови монолошке, дијалошке методе, методе рада на тексту и демонстративно-илустративне методе.</w:t>
            </w:r>
            <w:r w:rsidR="00351544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 w:rsidR="006A6A64" w:rsidRPr="00132CF4">
              <w:rPr>
                <w:color w:val="000000"/>
                <w:sz w:val="22"/>
                <w:szCs w:val="22"/>
              </w:rPr>
              <w:t>Праћење и вредновање рада студената реализује се континуираним праћењем активности студената, проценом квалитета самосталног и истраживачког рада, израдом семинарских радова, пројеката, практичних активности и завршном провером знања у складу са акредитованим наставним планом.</w:t>
            </w:r>
          </w:p>
          <w:p w14:paraId="74F31C06" w14:textId="1C2C6960" w:rsidR="00FB4784" w:rsidRPr="002B7698" w:rsidRDefault="006A6A64" w:rsidP="00F37113">
            <w:pPr>
              <w:tabs>
                <w:tab w:val="left" w:pos="0"/>
              </w:tabs>
              <w:ind w:firstLine="56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Обим студија се изражава бројем ЕСПБ бодова. Мастер академске студије педагогије имају 60 ЕСПБ бодова.</w:t>
            </w:r>
          </w:p>
        </w:tc>
      </w:tr>
      <w:tr w:rsidR="00FB4784" w:rsidRPr="0038257C" w14:paraId="2F72E4BD" w14:textId="77777777" w:rsidTr="0053268E">
        <w:trPr>
          <w:trHeight w:val="526"/>
        </w:trPr>
        <w:tc>
          <w:tcPr>
            <w:tcW w:w="9828" w:type="dxa"/>
            <w:shd w:val="clear" w:color="auto" w:fill="F2F2F2"/>
          </w:tcPr>
          <w:p w14:paraId="30915A18" w14:textId="77777777" w:rsidR="00FB4784" w:rsidRDefault="00FB4784" w:rsidP="0053268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33A0E27" w14:textId="77777777" w:rsidR="00FB4784" w:rsidRDefault="00FB4784" w:rsidP="0053268E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  <w:p w14:paraId="753DDA49" w14:textId="77777777" w:rsidR="00BE7EEE" w:rsidRPr="00F51983" w:rsidRDefault="00BE7EEE" w:rsidP="00BE7EE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Веб-сајт: </w:t>
            </w:r>
            <w:hyperlink r:id="rId7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www.filfak.ni.ac.rs</w:t>
              </w:r>
            </w:hyperlink>
          </w:p>
          <w:p w14:paraId="60EC26D7" w14:textId="77777777" w:rsidR="00BE7EEE" w:rsidRPr="00F51983" w:rsidRDefault="00BE7EEE" w:rsidP="00BE7EE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 на енглеском језику: </w:t>
            </w:r>
            <w:hyperlink r:id="rId8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https://intl.filfak.ni.ac.rs/en</w:t>
              </w:r>
            </w:hyperlink>
          </w:p>
          <w:p w14:paraId="5E9AFDEA" w14:textId="77777777" w:rsidR="00BE7EEE" w:rsidRPr="00F51983" w:rsidRDefault="00BE7EEE" w:rsidP="00BE7EE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Блог: </w:t>
            </w:r>
            <w:hyperlink r:id="rId9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https://blog.filfak.ni.ac.rs/</w:t>
              </w:r>
            </w:hyperlink>
          </w:p>
          <w:p w14:paraId="7B0BE4DA" w14:textId="77777777" w:rsidR="00BE7EEE" w:rsidRPr="00F51983" w:rsidRDefault="00BE7EEE" w:rsidP="00BE7EE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упис: </w:t>
            </w:r>
            <w:hyperlink r:id="rId10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https://upis.filfak.ni.ac.rs/</w:t>
              </w:r>
            </w:hyperlink>
          </w:p>
          <w:p w14:paraId="12578026" w14:textId="77777777" w:rsidR="00BE7EEE" w:rsidRPr="00F51983" w:rsidRDefault="00BE7EEE" w:rsidP="00BE7EE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студенте: </w:t>
            </w:r>
            <w:hyperlink r:id="rId11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http://studenti.filfak.ni.ac.rs/</w:t>
              </w:r>
            </w:hyperlink>
          </w:p>
          <w:p w14:paraId="41DBFC82" w14:textId="77777777" w:rsidR="00BE7EEE" w:rsidRPr="007B43B0" w:rsidRDefault="00BE7EEE" w:rsidP="00BE7EEE">
            <w:pPr>
              <w:rPr>
                <w:sz w:val="22"/>
                <w:szCs w:val="22"/>
                <w:lang w:val="sr-Cyrl-C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Издања Факултета: </w:t>
            </w:r>
            <w:hyperlink r:id="rId12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https://izdanja.filfak.ni.ac.rs/</w:t>
              </w:r>
            </w:hyperlink>
          </w:p>
        </w:tc>
      </w:tr>
    </w:tbl>
    <w:p w14:paraId="65BDF482" w14:textId="77777777" w:rsidR="000413FF" w:rsidRPr="003B00A0" w:rsidRDefault="000413FF" w:rsidP="003B00A0"/>
    <w:sectPr w:rsidR="000413FF" w:rsidRPr="003B00A0" w:rsidSect="003B00A0">
      <w:headerReference w:type="default" r:id="rId13"/>
      <w:footerReference w:type="default" r:id="rId14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86FEF" w14:textId="77777777" w:rsidR="00F3019B" w:rsidRDefault="00F3019B">
      <w:r>
        <w:separator/>
      </w:r>
    </w:p>
  </w:endnote>
  <w:endnote w:type="continuationSeparator" w:id="0">
    <w:p w14:paraId="7284E2A3" w14:textId="77777777" w:rsidR="00F3019B" w:rsidRDefault="00F3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FDF8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48D49" w14:textId="77777777" w:rsidR="00F3019B" w:rsidRDefault="00F3019B">
      <w:r>
        <w:separator/>
      </w:r>
    </w:p>
  </w:footnote>
  <w:footnote w:type="continuationSeparator" w:id="0">
    <w:p w14:paraId="016CFFD5" w14:textId="77777777" w:rsidR="00F3019B" w:rsidRDefault="00F3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9317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25C986AD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2529E83" w14:textId="068684DD" w:rsidR="00082B17" w:rsidRPr="00A17D22" w:rsidRDefault="00E14A0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1C7C386" wp14:editId="4E50A2E8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4697FA88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F72FF4F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09B9539E" w14:textId="4BC3AFF0" w:rsidR="00082B17" w:rsidRDefault="00E14A0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7A4C991" wp14:editId="7A6D3CD5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179E6AC" w14:textId="77777777">
      <w:trPr>
        <w:trHeight w:val="467"/>
        <w:jc w:val="center"/>
      </w:trPr>
      <w:tc>
        <w:tcPr>
          <w:tcW w:w="1515" w:type="dxa"/>
          <w:vMerge/>
        </w:tcPr>
        <w:p w14:paraId="3F40701E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2619FD80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4E1EDFB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137FDB8A" w14:textId="77777777">
      <w:trPr>
        <w:trHeight w:val="449"/>
        <w:jc w:val="center"/>
      </w:trPr>
      <w:tc>
        <w:tcPr>
          <w:tcW w:w="1515" w:type="dxa"/>
          <w:vMerge/>
        </w:tcPr>
        <w:p w14:paraId="0C9310E1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00FB4AA7" w14:textId="3A7F9868" w:rsidR="004C7606" w:rsidRPr="00432268" w:rsidRDefault="000648A2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0648A2"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436BA40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2B15F0E9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48A2"/>
    <w:rsid w:val="00082B17"/>
    <w:rsid w:val="00091175"/>
    <w:rsid w:val="000A64BA"/>
    <w:rsid w:val="000B6872"/>
    <w:rsid w:val="000B6B79"/>
    <w:rsid w:val="000C6657"/>
    <w:rsid w:val="000D6133"/>
    <w:rsid w:val="000E1822"/>
    <w:rsid w:val="00125D5C"/>
    <w:rsid w:val="00154B10"/>
    <w:rsid w:val="00160FD8"/>
    <w:rsid w:val="00175D89"/>
    <w:rsid w:val="0019399F"/>
    <w:rsid w:val="001A37DF"/>
    <w:rsid w:val="001A48ED"/>
    <w:rsid w:val="001C076A"/>
    <w:rsid w:val="001E1E7F"/>
    <w:rsid w:val="001F5A4C"/>
    <w:rsid w:val="001F79D9"/>
    <w:rsid w:val="002677AF"/>
    <w:rsid w:val="002760F2"/>
    <w:rsid w:val="002B7698"/>
    <w:rsid w:val="002E68DF"/>
    <w:rsid w:val="002E7AA4"/>
    <w:rsid w:val="003129E2"/>
    <w:rsid w:val="00320DCA"/>
    <w:rsid w:val="00337217"/>
    <w:rsid w:val="0035136B"/>
    <w:rsid w:val="0035146D"/>
    <w:rsid w:val="00351544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6BBC"/>
    <w:rsid w:val="0053268E"/>
    <w:rsid w:val="00560C24"/>
    <w:rsid w:val="005870A7"/>
    <w:rsid w:val="00596126"/>
    <w:rsid w:val="005A19FE"/>
    <w:rsid w:val="005A3432"/>
    <w:rsid w:val="005C27B3"/>
    <w:rsid w:val="0060085E"/>
    <w:rsid w:val="00636D05"/>
    <w:rsid w:val="006514C4"/>
    <w:rsid w:val="0065465C"/>
    <w:rsid w:val="00654720"/>
    <w:rsid w:val="00655F0A"/>
    <w:rsid w:val="00676E24"/>
    <w:rsid w:val="00690987"/>
    <w:rsid w:val="006A4CAD"/>
    <w:rsid w:val="006A6A64"/>
    <w:rsid w:val="006C11E6"/>
    <w:rsid w:val="006C7012"/>
    <w:rsid w:val="006E34D1"/>
    <w:rsid w:val="006F48FF"/>
    <w:rsid w:val="00702729"/>
    <w:rsid w:val="007A3796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19B1"/>
    <w:rsid w:val="009A21DD"/>
    <w:rsid w:val="009A7351"/>
    <w:rsid w:val="009E3014"/>
    <w:rsid w:val="00A06948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E7EEE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227F8"/>
    <w:rsid w:val="00D4438A"/>
    <w:rsid w:val="00D540CC"/>
    <w:rsid w:val="00D66EC9"/>
    <w:rsid w:val="00D6759D"/>
    <w:rsid w:val="00D7706B"/>
    <w:rsid w:val="00DA1A85"/>
    <w:rsid w:val="00DA4D24"/>
    <w:rsid w:val="00DA6C11"/>
    <w:rsid w:val="00DD08ED"/>
    <w:rsid w:val="00DE08F5"/>
    <w:rsid w:val="00DE7AA7"/>
    <w:rsid w:val="00DF7857"/>
    <w:rsid w:val="00E12D8C"/>
    <w:rsid w:val="00E14A04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019B"/>
    <w:rsid w:val="00F36C17"/>
    <w:rsid w:val="00F37113"/>
    <w:rsid w:val="00F4203A"/>
    <w:rsid w:val="00F6121B"/>
    <w:rsid w:val="00F63E79"/>
    <w:rsid w:val="00F90F11"/>
    <w:rsid w:val="00F97C79"/>
    <w:rsid w:val="00FA30E5"/>
    <w:rsid w:val="00FA3F42"/>
    <w:rsid w:val="00FB4784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C2964"/>
  <w15:chartTrackingRefBased/>
  <w15:docId w15:val="{75929F03-62EF-4DCC-AF58-BD721771C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l.filfak.ni.ac.rs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lfak.ni.ac.rs" TargetMode="External"/><Relationship Id="rId12" Type="http://schemas.openxmlformats.org/officeDocument/2006/relationships/hyperlink" Target="https://izdanja.filfak.ni.ac.r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enti.filfak.ni.ac.r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pis.filfak.ni.ac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filfak.ni.ac.r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Links>
    <vt:vector size="36" baseType="variant">
      <vt:variant>
        <vt:i4>5505106</vt:i4>
      </vt:variant>
      <vt:variant>
        <vt:i4>15</vt:i4>
      </vt:variant>
      <vt:variant>
        <vt:i4>0</vt:i4>
      </vt:variant>
      <vt:variant>
        <vt:i4>5</vt:i4>
      </vt:variant>
      <vt:variant>
        <vt:lpwstr>https://izdanja.filfak.ni.ac.rs/</vt:lpwstr>
      </vt:variant>
      <vt:variant>
        <vt:lpwstr/>
      </vt:variant>
      <vt:variant>
        <vt:i4>524302</vt:i4>
      </vt:variant>
      <vt:variant>
        <vt:i4>12</vt:i4>
      </vt:variant>
      <vt:variant>
        <vt:i4>0</vt:i4>
      </vt:variant>
      <vt:variant>
        <vt:i4>5</vt:i4>
      </vt:variant>
      <vt:variant>
        <vt:lpwstr>http://studenti.filfak.ni.ac.rs/</vt:lpwstr>
      </vt:variant>
      <vt:variant>
        <vt:lpwstr/>
      </vt:variant>
      <vt:variant>
        <vt:i4>131143</vt:i4>
      </vt:variant>
      <vt:variant>
        <vt:i4>9</vt:i4>
      </vt:variant>
      <vt:variant>
        <vt:i4>0</vt:i4>
      </vt:variant>
      <vt:variant>
        <vt:i4>5</vt:i4>
      </vt:variant>
      <vt:variant>
        <vt:lpwstr>https://upis.filfak.ni.ac.rs/</vt:lpwstr>
      </vt:variant>
      <vt:variant>
        <vt:lpwstr/>
      </vt:variant>
      <vt:variant>
        <vt:i4>655446</vt:i4>
      </vt:variant>
      <vt:variant>
        <vt:i4>6</vt:i4>
      </vt:variant>
      <vt:variant>
        <vt:i4>0</vt:i4>
      </vt:variant>
      <vt:variant>
        <vt:i4>5</vt:i4>
      </vt:variant>
      <vt:variant>
        <vt:lpwstr>https://blog.filfak.ni.ac.rs/</vt:lpwstr>
      </vt:variant>
      <vt:variant>
        <vt:lpwstr/>
      </vt:variant>
      <vt:variant>
        <vt:i4>6684777</vt:i4>
      </vt:variant>
      <vt:variant>
        <vt:i4>3</vt:i4>
      </vt:variant>
      <vt:variant>
        <vt:i4>0</vt:i4>
      </vt:variant>
      <vt:variant>
        <vt:i4>5</vt:i4>
      </vt:variant>
      <vt:variant>
        <vt:lpwstr>https://intl.filfak.ni.ac.rs/en</vt:lpwstr>
      </vt:variant>
      <vt:variant>
        <vt:lpwstr/>
      </vt:variant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http://www.filfak.ni.ac.rs/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12</cp:revision>
  <cp:lastPrinted>2008-06-10T11:57:00Z</cp:lastPrinted>
  <dcterms:created xsi:type="dcterms:W3CDTF">2021-10-28T09:09:00Z</dcterms:created>
  <dcterms:modified xsi:type="dcterms:W3CDTF">2026-07-06T11:29:00Z</dcterms:modified>
</cp:coreProperties>
</file>